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巩义市红渠供应链管理有限公司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2026-02-04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ZL122024Q2234R0S ZL122024E3235R0S ZL122024S4236R0S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2026年02月04日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